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FB62" w14:textId="66D8FD83" w:rsidR="004D7C3E" w:rsidRPr="00C34C27" w:rsidRDefault="00DF7E5D" w:rsidP="00DA3091">
      <w:pPr>
        <w:spacing w:after="0"/>
        <w:rPr>
          <w:b/>
          <w:bCs/>
          <w:sz w:val="24"/>
          <w:szCs w:val="24"/>
          <w:u w:val="single"/>
        </w:rPr>
      </w:pPr>
      <w:r w:rsidRPr="00C34C27">
        <w:rPr>
          <w:b/>
          <w:bCs/>
          <w:sz w:val="24"/>
          <w:szCs w:val="24"/>
          <w:u w:val="single"/>
        </w:rPr>
        <w:t>Statement of the case</w:t>
      </w:r>
      <w:r w:rsidR="00DA3091" w:rsidRPr="00C34C27">
        <w:rPr>
          <w:b/>
          <w:bCs/>
          <w:sz w:val="24"/>
          <w:szCs w:val="24"/>
          <w:u w:val="single"/>
        </w:rPr>
        <w:t xml:space="preserve"> and notes for hearing</w:t>
      </w:r>
      <w:r w:rsidRPr="00C34C27">
        <w:rPr>
          <w:b/>
          <w:bCs/>
          <w:sz w:val="24"/>
          <w:szCs w:val="24"/>
          <w:u w:val="single"/>
        </w:rPr>
        <w:t xml:space="preserve">. </w:t>
      </w:r>
    </w:p>
    <w:p w14:paraId="3C157E91" w14:textId="3A47AA05" w:rsidR="004D7C3E" w:rsidRPr="00C34C27" w:rsidRDefault="00D22C0E" w:rsidP="004D7C3E">
      <w:pPr>
        <w:pStyle w:val="ListParagraph"/>
        <w:numPr>
          <w:ilvl w:val="0"/>
          <w:numId w:val="1"/>
        </w:numPr>
        <w:rPr>
          <w:sz w:val="24"/>
          <w:szCs w:val="24"/>
        </w:rPr>
      </w:pPr>
      <w:r w:rsidRPr="00C34C27">
        <w:rPr>
          <w:sz w:val="24"/>
          <w:szCs w:val="24"/>
        </w:rPr>
        <w:t xml:space="preserve">The Zoning Administrator has an </w:t>
      </w:r>
      <w:r w:rsidRPr="00C34C27">
        <w:rPr>
          <w:b/>
          <w:bCs/>
          <w:sz w:val="24"/>
          <w:szCs w:val="24"/>
        </w:rPr>
        <w:t>undeniable</w:t>
      </w:r>
      <w:r w:rsidR="004D7C3E" w:rsidRPr="00C34C27">
        <w:rPr>
          <w:b/>
          <w:bCs/>
          <w:sz w:val="24"/>
          <w:szCs w:val="24"/>
        </w:rPr>
        <w:t xml:space="preserve"> ministerial</w:t>
      </w:r>
      <w:r w:rsidRPr="00C34C27">
        <w:rPr>
          <w:b/>
          <w:bCs/>
          <w:sz w:val="24"/>
          <w:szCs w:val="24"/>
        </w:rPr>
        <w:t xml:space="preserve"> </w:t>
      </w:r>
      <w:r w:rsidR="00DA3091" w:rsidRPr="00C34C27">
        <w:rPr>
          <w:b/>
          <w:bCs/>
          <w:sz w:val="24"/>
          <w:szCs w:val="24"/>
        </w:rPr>
        <w:t xml:space="preserve">and legal </w:t>
      </w:r>
      <w:r w:rsidRPr="00C34C27">
        <w:rPr>
          <w:b/>
          <w:bCs/>
          <w:sz w:val="24"/>
          <w:szCs w:val="24"/>
        </w:rPr>
        <w:t>duty</w:t>
      </w:r>
      <w:r w:rsidR="004D7C3E" w:rsidRPr="00C34C27">
        <w:rPr>
          <w:b/>
          <w:bCs/>
          <w:sz w:val="24"/>
          <w:szCs w:val="24"/>
        </w:rPr>
        <w:t xml:space="preserve"> </w:t>
      </w:r>
      <w:r w:rsidRPr="00C34C27">
        <w:rPr>
          <w:sz w:val="24"/>
          <w:szCs w:val="24"/>
        </w:rPr>
        <w:t xml:space="preserve">to enforce the Municipal Code in accordance with its </w:t>
      </w:r>
      <w:r w:rsidRPr="00C34C27">
        <w:rPr>
          <w:b/>
          <w:bCs/>
          <w:sz w:val="24"/>
          <w:szCs w:val="24"/>
        </w:rPr>
        <w:t>plain meaning</w:t>
      </w:r>
      <w:r w:rsidRPr="00C34C27">
        <w:rPr>
          <w:sz w:val="24"/>
          <w:szCs w:val="24"/>
        </w:rPr>
        <w:t xml:space="preserve"> and has no power to change or grant variances fro</w:t>
      </w:r>
      <w:r w:rsidR="00DA3091" w:rsidRPr="00C34C27">
        <w:rPr>
          <w:sz w:val="24"/>
          <w:szCs w:val="24"/>
        </w:rPr>
        <w:t>m</w:t>
      </w:r>
      <w:r w:rsidRPr="00C34C27">
        <w:rPr>
          <w:sz w:val="24"/>
          <w:szCs w:val="24"/>
        </w:rPr>
        <w:t xml:space="preserve"> that Code.</w:t>
      </w:r>
      <w:r w:rsidR="004D7C3E" w:rsidRPr="00C34C27">
        <w:rPr>
          <w:sz w:val="24"/>
          <w:szCs w:val="24"/>
        </w:rPr>
        <w:t xml:space="preserve"> </w:t>
      </w:r>
    </w:p>
    <w:p w14:paraId="7330A20F" w14:textId="10DEEE0E" w:rsidR="004D7C3E" w:rsidRPr="00C34C27" w:rsidRDefault="004D7C3E" w:rsidP="004D7C3E">
      <w:pPr>
        <w:pStyle w:val="ListParagraph"/>
        <w:numPr>
          <w:ilvl w:val="0"/>
          <w:numId w:val="1"/>
        </w:numPr>
        <w:rPr>
          <w:sz w:val="24"/>
          <w:szCs w:val="24"/>
        </w:rPr>
      </w:pPr>
      <w:r w:rsidRPr="00C34C27">
        <w:rPr>
          <w:sz w:val="24"/>
          <w:szCs w:val="24"/>
        </w:rPr>
        <w:t xml:space="preserve">For each parcel at the Ford site, the </w:t>
      </w:r>
      <w:r w:rsidR="00605C9B" w:rsidRPr="00C34C27">
        <w:rPr>
          <w:sz w:val="24"/>
          <w:szCs w:val="24"/>
        </w:rPr>
        <w:t>C</w:t>
      </w:r>
      <w:r w:rsidRPr="00C34C27">
        <w:rPr>
          <w:sz w:val="24"/>
          <w:szCs w:val="24"/>
        </w:rPr>
        <w:t xml:space="preserve">ode clearly prescribes a </w:t>
      </w:r>
      <w:r w:rsidRPr="00C34C27">
        <w:rPr>
          <w:b/>
          <w:bCs/>
          <w:sz w:val="24"/>
          <w:szCs w:val="24"/>
        </w:rPr>
        <w:t>maximum percentage</w:t>
      </w:r>
      <w:r w:rsidRPr="00C34C27">
        <w:rPr>
          <w:sz w:val="24"/>
          <w:szCs w:val="24"/>
        </w:rPr>
        <w:t xml:space="preserve"> that can be </w:t>
      </w:r>
      <w:r w:rsidRPr="00C34C27">
        <w:rPr>
          <w:b/>
          <w:bCs/>
          <w:sz w:val="24"/>
          <w:szCs w:val="24"/>
        </w:rPr>
        <w:t>covered by buildings</w:t>
      </w:r>
      <w:r w:rsidRPr="00C34C27">
        <w:rPr>
          <w:sz w:val="24"/>
          <w:szCs w:val="24"/>
        </w:rPr>
        <w:t xml:space="preserve"> and a </w:t>
      </w:r>
      <w:r w:rsidRPr="00C34C27">
        <w:rPr>
          <w:b/>
          <w:bCs/>
          <w:sz w:val="24"/>
          <w:szCs w:val="24"/>
        </w:rPr>
        <w:t>minimum percentage</w:t>
      </w:r>
      <w:r w:rsidRPr="00C34C27">
        <w:rPr>
          <w:sz w:val="24"/>
          <w:szCs w:val="24"/>
        </w:rPr>
        <w:t xml:space="preserve"> of the parcel that </w:t>
      </w:r>
      <w:r w:rsidRPr="00C34C27">
        <w:rPr>
          <w:b/>
          <w:bCs/>
          <w:sz w:val="24"/>
          <w:szCs w:val="24"/>
        </w:rPr>
        <w:t>must be open space</w:t>
      </w:r>
      <w:r w:rsidRPr="00C34C27">
        <w:rPr>
          <w:sz w:val="24"/>
          <w:szCs w:val="24"/>
        </w:rPr>
        <w:t xml:space="preserve">. </w:t>
      </w:r>
    </w:p>
    <w:p w14:paraId="72D98D25" w14:textId="1D8F8F89" w:rsidR="004D7C3E" w:rsidRPr="00C34C27" w:rsidRDefault="004D7C3E" w:rsidP="004D7C3E">
      <w:pPr>
        <w:pStyle w:val="ListParagraph"/>
        <w:numPr>
          <w:ilvl w:val="0"/>
          <w:numId w:val="1"/>
        </w:numPr>
        <w:rPr>
          <w:sz w:val="24"/>
          <w:szCs w:val="24"/>
        </w:rPr>
      </w:pPr>
      <w:r w:rsidRPr="00C34C27">
        <w:rPr>
          <w:sz w:val="24"/>
          <w:szCs w:val="24"/>
        </w:rPr>
        <w:t xml:space="preserve">For the parcel at 2170 Ford Parkway, the Code </w:t>
      </w:r>
      <w:r w:rsidR="00605C9B" w:rsidRPr="00C34C27">
        <w:rPr>
          <w:sz w:val="24"/>
          <w:szCs w:val="24"/>
        </w:rPr>
        <w:t xml:space="preserve">clearly </w:t>
      </w:r>
      <w:r w:rsidRPr="00C34C27">
        <w:rPr>
          <w:sz w:val="24"/>
          <w:szCs w:val="24"/>
        </w:rPr>
        <w:t xml:space="preserve">states that </w:t>
      </w:r>
      <w:r w:rsidRPr="00C34C27">
        <w:rPr>
          <w:b/>
          <w:bCs/>
          <w:i/>
          <w:iCs/>
          <w:sz w:val="24"/>
          <w:szCs w:val="24"/>
        </w:rPr>
        <w:t>lot coverage by buildings is a maximum of 75%</w:t>
      </w:r>
      <w:r w:rsidRPr="00C34C27">
        <w:rPr>
          <w:sz w:val="24"/>
          <w:szCs w:val="24"/>
        </w:rPr>
        <w:t xml:space="preserve"> and that </w:t>
      </w:r>
      <w:r w:rsidRPr="00C34C27">
        <w:rPr>
          <w:b/>
          <w:bCs/>
          <w:i/>
          <w:iCs/>
          <w:sz w:val="24"/>
          <w:szCs w:val="24"/>
        </w:rPr>
        <w:t>lot coverage for open space is a minimum of 25%.</w:t>
      </w:r>
    </w:p>
    <w:p w14:paraId="684EDECC" w14:textId="4D99F28F" w:rsidR="004D7C3E" w:rsidRPr="00C34C27" w:rsidRDefault="004D7C3E" w:rsidP="004D7C3E">
      <w:pPr>
        <w:pStyle w:val="ListParagraph"/>
        <w:numPr>
          <w:ilvl w:val="0"/>
          <w:numId w:val="1"/>
        </w:numPr>
        <w:rPr>
          <w:sz w:val="24"/>
          <w:szCs w:val="24"/>
        </w:rPr>
      </w:pPr>
      <w:r w:rsidRPr="00C34C27">
        <w:rPr>
          <w:sz w:val="24"/>
          <w:szCs w:val="24"/>
        </w:rPr>
        <w:t xml:space="preserve">Ryan </w:t>
      </w:r>
      <w:r w:rsidRPr="00C34C27">
        <w:rPr>
          <w:b/>
          <w:bCs/>
          <w:sz w:val="24"/>
          <w:szCs w:val="24"/>
        </w:rPr>
        <w:t>applied for a variance</w:t>
      </w:r>
      <w:r w:rsidRPr="00C34C27">
        <w:rPr>
          <w:sz w:val="24"/>
          <w:szCs w:val="24"/>
        </w:rPr>
        <w:t xml:space="preserve"> from the 25% open space requirement. </w:t>
      </w:r>
    </w:p>
    <w:p w14:paraId="25FB4113" w14:textId="306E9DC3" w:rsidR="004D7C3E" w:rsidRPr="00C34C27" w:rsidRDefault="004D7C3E" w:rsidP="004D7C3E">
      <w:pPr>
        <w:pStyle w:val="ListParagraph"/>
        <w:numPr>
          <w:ilvl w:val="0"/>
          <w:numId w:val="1"/>
        </w:numPr>
        <w:rPr>
          <w:sz w:val="24"/>
          <w:szCs w:val="24"/>
        </w:rPr>
      </w:pPr>
      <w:r w:rsidRPr="00C34C27">
        <w:rPr>
          <w:sz w:val="24"/>
          <w:szCs w:val="24"/>
        </w:rPr>
        <w:t xml:space="preserve">The City said Ryan </w:t>
      </w:r>
      <w:r w:rsidRPr="00C34C27">
        <w:rPr>
          <w:b/>
          <w:bCs/>
          <w:sz w:val="24"/>
          <w:szCs w:val="24"/>
        </w:rPr>
        <w:t>d</w:t>
      </w:r>
      <w:r w:rsidR="00E4640E" w:rsidRPr="00C34C27">
        <w:rPr>
          <w:b/>
          <w:bCs/>
          <w:sz w:val="24"/>
          <w:szCs w:val="24"/>
        </w:rPr>
        <w:t>idn’t</w:t>
      </w:r>
      <w:r w:rsidRPr="00C34C27">
        <w:rPr>
          <w:b/>
          <w:bCs/>
          <w:sz w:val="24"/>
          <w:szCs w:val="24"/>
        </w:rPr>
        <w:t xml:space="preserve"> need the variance</w:t>
      </w:r>
      <w:r w:rsidRPr="00C34C27">
        <w:rPr>
          <w:sz w:val="24"/>
          <w:szCs w:val="24"/>
        </w:rPr>
        <w:t xml:space="preserve"> because private rooftop decks </w:t>
      </w:r>
      <w:r w:rsidR="00C34C27">
        <w:rPr>
          <w:sz w:val="24"/>
          <w:szCs w:val="24"/>
        </w:rPr>
        <w:t>and</w:t>
      </w:r>
      <w:r w:rsidRPr="00C34C27">
        <w:rPr>
          <w:sz w:val="24"/>
          <w:szCs w:val="24"/>
        </w:rPr>
        <w:t xml:space="preserve"> balconies </w:t>
      </w:r>
      <w:r w:rsidRPr="00C34C27">
        <w:rPr>
          <w:b/>
          <w:bCs/>
          <w:sz w:val="24"/>
          <w:szCs w:val="24"/>
        </w:rPr>
        <w:t>within the limits of the building lot coverage</w:t>
      </w:r>
      <w:r w:rsidRPr="00C34C27">
        <w:rPr>
          <w:sz w:val="24"/>
          <w:szCs w:val="24"/>
        </w:rPr>
        <w:t xml:space="preserve"> constitute open space. </w:t>
      </w:r>
    </w:p>
    <w:p w14:paraId="03777B42" w14:textId="5F3C9516" w:rsidR="00C74C79" w:rsidRPr="00C34C27" w:rsidRDefault="00C74C79" w:rsidP="004D7C3E">
      <w:pPr>
        <w:pStyle w:val="ListParagraph"/>
        <w:numPr>
          <w:ilvl w:val="0"/>
          <w:numId w:val="1"/>
        </w:numPr>
        <w:rPr>
          <w:sz w:val="24"/>
          <w:szCs w:val="24"/>
        </w:rPr>
      </w:pPr>
      <w:r w:rsidRPr="00C34C27">
        <w:rPr>
          <w:sz w:val="24"/>
          <w:szCs w:val="24"/>
        </w:rPr>
        <w:t xml:space="preserve">There is </w:t>
      </w:r>
      <w:r w:rsidRPr="00C34C27">
        <w:rPr>
          <w:b/>
          <w:bCs/>
          <w:sz w:val="24"/>
          <w:szCs w:val="24"/>
        </w:rPr>
        <w:t>no available codified</w:t>
      </w:r>
      <w:r w:rsidR="00E4640E" w:rsidRPr="00C34C27">
        <w:rPr>
          <w:b/>
          <w:bCs/>
          <w:sz w:val="24"/>
          <w:szCs w:val="24"/>
        </w:rPr>
        <w:t xml:space="preserve"> definition of “open space” </w:t>
      </w:r>
      <w:r w:rsidR="00C37B16" w:rsidRPr="00C34C27">
        <w:rPr>
          <w:b/>
          <w:bCs/>
          <w:sz w:val="24"/>
          <w:szCs w:val="24"/>
        </w:rPr>
        <w:t xml:space="preserve">that </w:t>
      </w:r>
      <w:r w:rsidR="00E4640E" w:rsidRPr="00C34C27">
        <w:rPr>
          <w:b/>
          <w:bCs/>
          <w:sz w:val="24"/>
          <w:szCs w:val="24"/>
        </w:rPr>
        <w:t>would allow for this</w:t>
      </w:r>
      <w:r w:rsidRPr="00C34C27">
        <w:rPr>
          <w:sz w:val="24"/>
          <w:szCs w:val="24"/>
        </w:rPr>
        <w:t xml:space="preserve"> and the City knows this. In fact, they have admitted </w:t>
      </w:r>
      <w:r w:rsidR="00C37B16" w:rsidRPr="00C34C27">
        <w:rPr>
          <w:sz w:val="24"/>
          <w:szCs w:val="24"/>
        </w:rPr>
        <w:t>this</w:t>
      </w:r>
      <w:r w:rsidRPr="00C34C27">
        <w:rPr>
          <w:sz w:val="24"/>
          <w:szCs w:val="24"/>
        </w:rPr>
        <w:t xml:space="preserve"> multiple times and have pledged to resolve it via an amendment to the Code or the Master Plan. They haven’t.</w:t>
      </w:r>
    </w:p>
    <w:p w14:paraId="74293B43" w14:textId="39D4D3BF" w:rsidR="00E4640E" w:rsidRPr="00C34C27" w:rsidRDefault="00C74C79" w:rsidP="004D7C3E">
      <w:pPr>
        <w:pStyle w:val="ListParagraph"/>
        <w:numPr>
          <w:ilvl w:val="0"/>
          <w:numId w:val="1"/>
        </w:numPr>
        <w:rPr>
          <w:sz w:val="24"/>
          <w:szCs w:val="24"/>
        </w:rPr>
      </w:pPr>
      <w:r w:rsidRPr="00C34C27">
        <w:rPr>
          <w:sz w:val="24"/>
          <w:szCs w:val="24"/>
        </w:rPr>
        <w:t>The Zoning Administrator’s i</w:t>
      </w:r>
      <w:r w:rsidR="00605C9B" w:rsidRPr="00C34C27">
        <w:rPr>
          <w:sz w:val="24"/>
          <w:szCs w:val="24"/>
        </w:rPr>
        <w:t>llegal</w:t>
      </w:r>
      <w:r w:rsidRPr="00C34C27">
        <w:rPr>
          <w:sz w:val="24"/>
          <w:szCs w:val="24"/>
        </w:rPr>
        <w:t xml:space="preserve"> </w:t>
      </w:r>
      <w:r w:rsidR="00605C9B" w:rsidRPr="00C34C27">
        <w:rPr>
          <w:sz w:val="24"/>
          <w:szCs w:val="24"/>
        </w:rPr>
        <w:t>mis</w:t>
      </w:r>
      <w:r w:rsidRPr="00C34C27">
        <w:rPr>
          <w:sz w:val="24"/>
          <w:szCs w:val="24"/>
        </w:rPr>
        <w:t xml:space="preserve">application of </w:t>
      </w:r>
      <w:r w:rsidR="00605C9B" w:rsidRPr="00C34C27">
        <w:rPr>
          <w:sz w:val="24"/>
          <w:szCs w:val="24"/>
        </w:rPr>
        <w:t xml:space="preserve">the </w:t>
      </w:r>
      <w:r w:rsidRPr="00C34C27">
        <w:rPr>
          <w:sz w:val="24"/>
          <w:szCs w:val="24"/>
        </w:rPr>
        <w:t>open space</w:t>
      </w:r>
      <w:r w:rsidR="00605C9B" w:rsidRPr="00C34C27">
        <w:rPr>
          <w:sz w:val="24"/>
          <w:szCs w:val="24"/>
        </w:rPr>
        <w:t xml:space="preserve"> definition</w:t>
      </w:r>
      <w:r w:rsidRPr="00C34C27">
        <w:rPr>
          <w:sz w:val="24"/>
          <w:szCs w:val="24"/>
        </w:rPr>
        <w:t xml:space="preserve"> has </w:t>
      </w:r>
      <w:r w:rsidRPr="00C34C27">
        <w:rPr>
          <w:b/>
          <w:bCs/>
          <w:sz w:val="24"/>
          <w:szCs w:val="24"/>
        </w:rPr>
        <w:t xml:space="preserve">swallowed up the entire </w:t>
      </w:r>
      <w:r w:rsidR="00A76AAC" w:rsidRPr="00C34C27">
        <w:rPr>
          <w:b/>
          <w:bCs/>
          <w:sz w:val="24"/>
          <w:szCs w:val="24"/>
        </w:rPr>
        <w:t xml:space="preserve">codified </w:t>
      </w:r>
      <w:r w:rsidRPr="00C34C27">
        <w:rPr>
          <w:b/>
          <w:bCs/>
          <w:sz w:val="24"/>
          <w:szCs w:val="24"/>
        </w:rPr>
        <w:t>distinction</w:t>
      </w:r>
      <w:r w:rsidRPr="00C34C27">
        <w:rPr>
          <w:sz w:val="24"/>
          <w:szCs w:val="24"/>
        </w:rPr>
        <w:t xml:space="preserve"> between </w:t>
      </w:r>
      <w:r w:rsidRPr="00C34C27">
        <w:rPr>
          <w:i/>
          <w:iCs/>
          <w:sz w:val="24"/>
          <w:szCs w:val="24"/>
        </w:rPr>
        <w:t>lot coverage by buildings</w:t>
      </w:r>
      <w:r w:rsidRPr="00C34C27">
        <w:rPr>
          <w:sz w:val="24"/>
          <w:szCs w:val="24"/>
        </w:rPr>
        <w:t xml:space="preserve"> and </w:t>
      </w:r>
      <w:r w:rsidRPr="00C34C27">
        <w:rPr>
          <w:i/>
          <w:iCs/>
          <w:sz w:val="24"/>
          <w:szCs w:val="24"/>
        </w:rPr>
        <w:t>lot coverage for open space</w:t>
      </w:r>
      <w:r w:rsidRPr="00C34C27">
        <w:rPr>
          <w:sz w:val="24"/>
          <w:szCs w:val="24"/>
        </w:rPr>
        <w:t>.</w:t>
      </w:r>
      <w:r w:rsidR="00E4640E" w:rsidRPr="00C34C27">
        <w:rPr>
          <w:sz w:val="24"/>
          <w:szCs w:val="24"/>
        </w:rPr>
        <w:t xml:space="preserve"> </w:t>
      </w:r>
    </w:p>
    <w:p w14:paraId="70BB5F91" w14:textId="0FA55EB4" w:rsidR="00DF7E5D" w:rsidRPr="00C34C27" w:rsidRDefault="00C74C79" w:rsidP="004D7C3E">
      <w:pPr>
        <w:pStyle w:val="ListParagraph"/>
        <w:numPr>
          <w:ilvl w:val="0"/>
          <w:numId w:val="1"/>
        </w:numPr>
        <w:rPr>
          <w:sz w:val="24"/>
          <w:szCs w:val="24"/>
        </w:rPr>
      </w:pPr>
      <w:r w:rsidRPr="00C34C27">
        <w:rPr>
          <w:sz w:val="24"/>
          <w:szCs w:val="24"/>
        </w:rPr>
        <w:t xml:space="preserve">In fact, it is noteworthy that the City now attempts to </w:t>
      </w:r>
      <w:r w:rsidRPr="00C34C27">
        <w:rPr>
          <w:b/>
          <w:bCs/>
          <w:sz w:val="24"/>
          <w:szCs w:val="24"/>
        </w:rPr>
        <w:t>legislate</w:t>
      </w:r>
      <w:r w:rsidR="00C37B16" w:rsidRPr="00C34C27">
        <w:rPr>
          <w:b/>
          <w:bCs/>
          <w:sz w:val="24"/>
          <w:szCs w:val="24"/>
        </w:rPr>
        <w:t xml:space="preserve"> via legal memo</w:t>
      </w:r>
      <w:r w:rsidRPr="00C34C27">
        <w:rPr>
          <w:sz w:val="24"/>
          <w:szCs w:val="24"/>
        </w:rPr>
        <w:t xml:space="preserve"> on a very important land use issue by introducing a </w:t>
      </w:r>
      <w:r w:rsidRPr="00C34C27">
        <w:rPr>
          <w:b/>
          <w:bCs/>
          <w:sz w:val="24"/>
          <w:szCs w:val="24"/>
          <w:u w:val="single"/>
        </w:rPr>
        <w:t>completely</w:t>
      </w:r>
      <w:r w:rsidR="00DF7E5D" w:rsidRPr="00C34C27">
        <w:rPr>
          <w:b/>
          <w:bCs/>
          <w:sz w:val="24"/>
          <w:szCs w:val="24"/>
          <w:u w:val="single"/>
        </w:rPr>
        <w:t xml:space="preserve"> </w:t>
      </w:r>
      <w:r w:rsidR="00A76AAC" w:rsidRPr="00C34C27">
        <w:rPr>
          <w:b/>
          <w:bCs/>
          <w:sz w:val="24"/>
          <w:szCs w:val="24"/>
          <w:u w:val="single"/>
        </w:rPr>
        <w:t>made-up</w:t>
      </w:r>
      <w:r w:rsidRPr="00C34C27">
        <w:rPr>
          <w:b/>
          <w:bCs/>
          <w:sz w:val="24"/>
          <w:szCs w:val="24"/>
          <w:u w:val="single"/>
        </w:rPr>
        <w:t xml:space="preserve"> term</w:t>
      </w:r>
      <w:r w:rsidRPr="00C34C27">
        <w:rPr>
          <w:b/>
          <w:bCs/>
          <w:sz w:val="24"/>
          <w:szCs w:val="24"/>
        </w:rPr>
        <w:t xml:space="preserve"> “</w:t>
      </w:r>
      <w:r w:rsidR="00DF7E5D" w:rsidRPr="00C34C27">
        <w:rPr>
          <w:b/>
          <w:bCs/>
          <w:sz w:val="24"/>
          <w:szCs w:val="24"/>
        </w:rPr>
        <w:t>amenity space”</w:t>
      </w:r>
      <w:r w:rsidR="00220DB9" w:rsidRPr="00C34C27">
        <w:rPr>
          <w:sz w:val="24"/>
          <w:szCs w:val="24"/>
        </w:rPr>
        <w:t xml:space="preserve"> and uses it to </w:t>
      </w:r>
      <w:r w:rsidR="00220DB9" w:rsidRPr="00C34C27">
        <w:rPr>
          <w:b/>
          <w:bCs/>
          <w:sz w:val="24"/>
          <w:szCs w:val="24"/>
        </w:rPr>
        <w:t>completely swallow up the codified distinction</w:t>
      </w:r>
      <w:r w:rsidR="00220DB9" w:rsidRPr="00C34C27">
        <w:rPr>
          <w:sz w:val="24"/>
          <w:szCs w:val="24"/>
        </w:rPr>
        <w:t xml:space="preserve"> between</w:t>
      </w:r>
      <w:r w:rsidR="00220DB9" w:rsidRPr="00C34C27">
        <w:rPr>
          <w:sz w:val="24"/>
          <w:szCs w:val="24"/>
        </w:rPr>
        <w:t xml:space="preserve"> </w:t>
      </w:r>
      <w:r w:rsidR="00220DB9" w:rsidRPr="00C34C27">
        <w:rPr>
          <w:i/>
          <w:iCs/>
          <w:sz w:val="24"/>
          <w:szCs w:val="24"/>
        </w:rPr>
        <w:t>lot coverage by buildings</w:t>
      </w:r>
      <w:r w:rsidR="00220DB9" w:rsidRPr="00C34C27">
        <w:rPr>
          <w:sz w:val="24"/>
          <w:szCs w:val="24"/>
        </w:rPr>
        <w:t xml:space="preserve"> and </w:t>
      </w:r>
      <w:r w:rsidR="00220DB9" w:rsidRPr="00C34C27">
        <w:rPr>
          <w:i/>
          <w:iCs/>
          <w:sz w:val="24"/>
          <w:szCs w:val="24"/>
        </w:rPr>
        <w:t>lot coverage for open space</w:t>
      </w:r>
      <w:r w:rsidR="00220DB9" w:rsidRPr="00C34C27">
        <w:rPr>
          <w:sz w:val="24"/>
          <w:szCs w:val="24"/>
        </w:rPr>
        <w:t xml:space="preserve"> presumably to inflate building footprints, square footage, tax revenue, and developer profits. </w:t>
      </w:r>
    </w:p>
    <w:p w14:paraId="18DF1883" w14:textId="50C67729" w:rsidR="00C74C79" w:rsidRPr="00C34C27" w:rsidRDefault="00DF7E5D" w:rsidP="004D7C3E">
      <w:pPr>
        <w:pStyle w:val="ListParagraph"/>
        <w:numPr>
          <w:ilvl w:val="0"/>
          <w:numId w:val="1"/>
        </w:numPr>
        <w:rPr>
          <w:sz w:val="24"/>
          <w:szCs w:val="24"/>
        </w:rPr>
      </w:pPr>
      <w:r w:rsidRPr="00C34C27">
        <w:rPr>
          <w:b/>
          <w:bCs/>
          <w:sz w:val="24"/>
          <w:szCs w:val="24"/>
        </w:rPr>
        <w:t>Petitioners</w:t>
      </w:r>
      <w:r w:rsidRPr="00C34C27">
        <w:rPr>
          <w:sz w:val="24"/>
          <w:szCs w:val="24"/>
        </w:rPr>
        <w:t xml:space="preserve">, </w:t>
      </w:r>
      <w:r w:rsidRPr="00C34C27">
        <w:rPr>
          <w:b/>
          <w:bCs/>
          <w:sz w:val="24"/>
          <w:szCs w:val="24"/>
        </w:rPr>
        <w:t>several of whom serve on community council boards</w:t>
      </w:r>
      <w:r w:rsidRPr="00C34C27">
        <w:rPr>
          <w:sz w:val="24"/>
          <w:szCs w:val="24"/>
        </w:rPr>
        <w:t xml:space="preserve">, </w:t>
      </w:r>
      <w:r w:rsidRPr="00C34C27">
        <w:rPr>
          <w:b/>
          <w:bCs/>
          <w:sz w:val="24"/>
          <w:szCs w:val="24"/>
        </w:rPr>
        <w:t>notified</w:t>
      </w:r>
      <w:r w:rsidRPr="00C34C27">
        <w:rPr>
          <w:sz w:val="24"/>
          <w:szCs w:val="24"/>
        </w:rPr>
        <w:t xml:space="preserve"> the Zoning Administrator, the Board of Zoning Appeals, and the City Council multiple times of this issue. The City has taken no action, so the petitioners filed the present action.</w:t>
      </w:r>
    </w:p>
    <w:p w14:paraId="68D64DF6" w14:textId="4E51988A" w:rsidR="00DF7E5D" w:rsidRPr="00C34C27" w:rsidRDefault="00DF7E5D" w:rsidP="004D7C3E">
      <w:pPr>
        <w:pStyle w:val="ListParagraph"/>
        <w:numPr>
          <w:ilvl w:val="0"/>
          <w:numId w:val="1"/>
        </w:numPr>
        <w:rPr>
          <w:sz w:val="24"/>
          <w:szCs w:val="24"/>
        </w:rPr>
      </w:pPr>
      <w:r w:rsidRPr="00C34C27">
        <w:rPr>
          <w:sz w:val="24"/>
          <w:szCs w:val="24"/>
        </w:rPr>
        <w:t xml:space="preserve">The City now seeks a motion to dismiss which </w:t>
      </w:r>
      <w:r w:rsidRPr="00C34C27">
        <w:rPr>
          <w:b/>
          <w:bCs/>
          <w:sz w:val="24"/>
          <w:szCs w:val="24"/>
        </w:rPr>
        <w:t>should be denied</w:t>
      </w:r>
      <w:r w:rsidRPr="00C34C27">
        <w:rPr>
          <w:sz w:val="24"/>
          <w:szCs w:val="24"/>
        </w:rPr>
        <w:t xml:space="preserve"> for the following reasons. </w:t>
      </w:r>
    </w:p>
    <w:p w14:paraId="2B55B6C2" w14:textId="182E4297" w:rsidR="00DF7E5D" w:rsidRPr="00C34C27" w:rsidRDefault="00835A43" w:rsidP="00DF7E5D">
      <w:pPr>
        <w:pStyle w:val="ListParagraph"/>
        <w:numPr>
          <w:ilvl w:val="1"/>
          <w:numId w:val="1"/>
        </w:numPr>
        <w:rPr>
          <w:sz w:val="24"/>
          <w:szCs w:val="24"/>
        </w:rPr>
      </w:pPr>
      <w:r w:rsidRPr="00C34C27">
        <w:rPr>
          <w:b/>
          <w:bCs/>
          <w:sz w:val="24"/>
          <w:szCs w:val="24"/>
          <w:u w:val="single"/>
        </w:rPr>
        <w:t>Jurisdiction.</w:t>
      </w:r>
      <w:r w:rsidRPr="00C34C27">
        <w:rPr>
          <w:sz w:val="24"/>
          <w:szCs w:val="24"/>
        </w:rPr>
        <w:t xml:space="preserve"> </w:t>
      </w:r>
      <w:r w:rsidR="000536CC" w:rsidRPr="00C34C27">
        <w:rPr>
          <w:sz w:val="24"/>
          <w:szCs w:val="24"/>
        </w:rPr>
        <w:t xml:space="preserve">The central question before us is whether the City must follow their own laws. However, the City uses sleight of hand by citing Minn. Stat. §462.361 jurisdictional requirements in an attempt to convert this case into a dispute over use of discretion. </w:t>
      </w:r>
      <w:r w:rsidR="0041381F">
        <w:rPr>
          <w:sz w:val="24"/>
          <w:szCs w:val="24"/>
        </w:rPr>
        <w:t xml:space="preserve">Regardless of the Municipal Planning Act, </w:t>
      </w:r>
      <w:r w:rsidR="00DF7E5D" w:rsidRPr="00C34C27">
        <w:rPr>
          <w:sz w:val="24"/>
          <w:szCs w:val="24"/>
        </w:rPr>
        <w:t>Minnesota case law is clear</w:t>
      </w:r>
      <w:r w:rsidR="00220DB9" w:rsidRPr="00C34C27">
        <w:rPr>
          <w:rStyle w:val="FootnoteReference"/>
          <w:sz w:val="24"/>
          <w:szCs w:val="24"/>
        </w:rPr>
        <w:footnoteReference w:id="1"/>
      </w:r>
      <w:r w:rsidR="00DF7E5D" w:rsidRPr="00C34C27">
        <w:rPr>
          <w:sz w:val="24"/>
          <w:szCs w:val="24"/>
        </w:rPr>
        <w:t xml:space="preserve"> that </w:t>
      </w:r>
      <w:r w:rsidR="00DF7E5D" w:rsidRPr="00C34C27">
        <w:rPr>
          <w:b/>
          <w:bCs/>
          <w:sz w:val="24"/>
          <w:szCs w:val="24"/>
        </w:rPr>
        <w:t xml:space="preserve">Minn. Stat. §586.01 can be applied </w:t>
      </w:r>
      <w:r w:rsidR="00605C9B" w:rsidRPr="00C34C27">
        <w:rPr>
          <w:b/>
          <w:bCs/>
          <w:sz w:val="24"/>
          <w:szCs w:val="24"/>
        </w:rPr>
        <w:t>in the context of</w:t>
      </w:r>
      <w:r w:rsidR="00DF7E5D" w:rsidRPr="00C34C27">
        <w:rPr>
          <w:b/>
          <w:bCs/>
          <w:sz w:val="24"/>
          <w:szCs w:val="24"/>
        </w:rPr>
        <w:t xml:space="preserve"> municipal land use </w:t>
      </w:r>
      <w:r w:rsidR="00605C9B" w:rsidRPr="00C34C27">
        <w:rPr>
          <w:b/>
          <w:bCs/>
          <w:sz w:val="24"/>
          <w:szCs w:val="24"/>
        </w:rPr>
        <w:t>issues</w:t>
      </w:r>
      <w:r w:rsidR="00DF7E5D" w:rsidRPr="00C34C27">
        <w:rPr>
          <w:sz w:val="24"/>
          <w:szCs w:val="24"/>
        </w:rPr>
        <w:t>, especially to compel the performance of an official duty clearly imposed by law which is exactly what we have here</w:t>
      </w:r>
      <w:r w:rsidR="00220DB9" w:rsidRPr="00C34C27">
        <w:rPr>
          <w:sz w:val="24"/>
          <w:szCs w:val="24"/>
        </w:rPr>
        <w:t xml:space="preserve"> (the duty to apply the plain meaning of the Code). The court has jurisdiction</w:t>
      </w:r>
      <w:r w:rsidR="00C34C27">
        <w:rPr>
          <w:sz w:val="24"/>
          <w:szCs w:val="24"/>
        </w:rPr>
        <w:t xml:space="preserve"> to hear this case.</w:t>
      </w:r>
    </w:p>
    <w:p w14:paraId="6204A99D" w14:textId="1F8E0010" w:rsidR="00DF7E5D" w:rsidRPr="00C34C27" w:rsidRDefault="00835A43" w:rsidP="00DF7E5D">
      <w:pPr>
        <w:pStyle w:val="ListParagraph"/>
        <w:numPr>
          <w:ilvl w:val="1"/>
          <w:numId w:val="1"/>
        </w:numPr>
        <w:rPr>
          <w:sz w:val="24"/>
          <w:szCs w:val="24"/>
        </w:rPr>
      </w:pPr>
      <w:r w:rsidRPr="00C34C27">
        <w:rPr>
          <w:b/>
          <w:bCs/>
          <w:sz w:val="24"/>
          <w:szCs w:val="24"/>
          <w:u w:val="single"/>
        </w:rPr>
        <w:lastRenderedPageBreak/>
        <w:t>Standing.</w:t>
      </w:r>
      <w:r w:rsidRPr="00C34C27">
        <w:rPr>
          <w:sz w:val="24"/>
          <w:szCs w:val="24"/>
        </w:rPr>
        <w:t xml:space="preserve"> </w:t>
      </w:r>
      <w:r w:rsidR="00DA3091" w:rsidRPr="00C34C27">
        <w:rPr>
          <w:sz w:val="24"/>
          <w:szCs w:val="24"/>
        </w:rPr>
        <w:t>Minn</w:t>
      </w:r>
      <w:r w:rsidR="00C34C27">
        <w:rPr>
          <w:sz w:val="24"/>
          <w:szCs w:val="24"/>
        </w:rPr>
        <w:t xml:space="preserve">esota </w:t>
      </w:r>
      <w:r w:rsidR="00DA3091" w:rsidRPr="00C34C27">
        <w:rPr>
          <w:sz w:val="24"/>
          <w:szCs w:val="24"/>
        </w:rPr>
        <w:t>Sup</w:t>
      </w:r>
      <w:r w:rsidR="00C34C27">
        <w:rPr>
          <w:sz w:val="24"/>
          <w:szCs w:val="24"/>
        </w:rPr>
        <w:t>reme</w:t>
      </w:r>
      <w:r w:rsidR="00DA3091" w:rsidRPr="00C34C27">
        <w:rPr>
          <w:sz w:val="24"/>
          <w:szCs w:val="24"/>
        </w:rPr>
        <w:t xml:space="preserve"> C</w:t>
      </w:r>
      <w:r w:rsidR="00C34C27">
        <w:rPr>
          <w:sz w:val="24"/>
          <w:szCs w:val="24"/>
        </w:rPr>
        <w:t>our</w:t>
      </w:r>
      <w:r w:rsidR="00DA3091" w:rsidRPr="00C34C27">
        <w:rPr>
          <w:sz w:val="24"/>
          <w:szCs w:val="24"/>
        </w:rPr>
        <w:t xml:space="preserve">t </w:t>
      </w:r>
      <w:r w:rsidR="00DF7E5D" w:rsidRPr="00C34C27">
        <w:rPr>
          <w:sz w:val="24"/>
          <w:szCs w:val="24"/>
        </w:rPr>
        <w:t xml:space="preserve">has said resident </w:t>
      </w:r>
      <w:r w:rsidR="00DF7E5D" w:rsidRPr="00C34C27">
        <w:rPr>
          <w:b/>
          <w:bCs/>
          <w:sz w:val="24"/>
          <w:szCs w:val="24"/>
        </w:rPr>
        <w:t>taxpayers have an interest in ensuring that zoning ordinances are enforced</w:t>
      </w:r>
      <w:r w:rsidR="00DF7E5D" w:rsidRPr="00C34C27">
        <w:rPr>
          <w:sz w:val="24"/>
          <w:szCs w:val="24"/>
        </w:rPr>
        <w:t xml:space="preserve"> and such interest is </w:t>
      </w:r>
      <w:r w:rsidR="00DF7E5D" w:rsidRPr="00C34C27">
        <w:rPr>
          <w:b/>
          <w:bCs/>
          <w:sz w:val="24"/>
          <w:szCs w:val="24"/>
        </w:rPr>
        <w:t>sufficient to confer standing</w:t>
      </w:r>
      <w:r w:rsidR="00DF7E5D" w:rsidRPr="00C34C27">
        <w:rPr>
          <w:sz w:val="24"/>
          <w:szCs w:val="24"/>
        </w:rPr>
        <w:t xml:space="preserve"> in mandamus actions.</w:t>
      </w:r>
      <w:r w:rsidR="00DA3091" w:rsidRPr="00C34C27">
        <w:rPr>
          <w:rStyle w:val="FootnoteReference"/>
          <w:sz w:val="24"/>
          <w:szCs w:val="24"/>
        </w:rPr>
        <w:footnoteReference w:id="2"/>
      </w:r>
      <w:r w:rsidR="00DF7E5D" w:rsidRPr="00C34C27">
        <w:rPr>
          <w:sz w:val="24"/>
          <w:szCs w:val="24"/>
        </w:rPr>
        <w:t xml:space="preserve"> </w:t>
      </w:r>
    </w:p>
    <w:p w14:paraId="312EF60D" w14:textId="674450D7" w:rsidR="00B800EB" w:rsidRPr="00C34C27" w:rsidRDefault="00835A43" w:rsidP="00DF7E5D">
      <w:pPr>
        <w:pStyle w:val="ListParagraph"/>
        <w:numPr>
          <w:ilvl w:val="1"/>
          <w:numId w:val="1"/>
        </w:numPr>
        <w:rPr>
          <w:sz w:val="24"/>
          <w:szCs w:val="24"/>
        </w:rPr>
      </w:pPr>
      <w:r w:rsidRPr="00C34C27">
        <w:rPr>
          <w:b/>
          <w:bCs/>
          <w:sz w:val="24"/>
          <w:szCs w:val="24"/>
          <w:u w:val="single"/>
        </w:rPr>
        <w:t>Duty to exhaust remedies defense.</w:t>
      </w:r>
      <w:r w:rsidRPr="00C34C27">
        <w:rPr>
          <w:sz w:val="24"/>
          <w:szCs w:val="24"/>
        </w:rPr>
        <w:t xml:space="preserve"> </w:t>
      </w:r>
      <w:r w:rsidR="00A76AAC" w:rsidRPr="00C34C27">
        <w:rPr>
          <w:sz w:val="24"/>
          <w:szCs w:val="24"/>
        </w:rPr>
        <w:t>The City raises as a defense that petitioners did not appeal within 10 days of the Zoning Administrators’ deliberate failure to enforce the</w:t>
      </w:r>
      <w:r w:rsidR="00605C9B" w:rsidRPr="00C34C27">
        <w:rPr>
          <w:sz w:val="24"/>
          <w:szCs w:val="24"/>
        </w:rPr>
        <w:t xml:space="preserve"> City’s</w:t>
      </w:r>
      <w:r w:rsidR="006C3EB6" w:rsidRPr="00C34C27">
        <w:rPr>
          <w:sz w:val="24"/>
          <w:szCs w:val="24"/>
        </w:rPr>
        <w:t xml:space="preserve"> own</w:t>
      </w:r>
      <w:r w:rsidR="00A76AAC" w:rsidRPr="00C34C27">
        <w:rPr>
          <w:sz w:val="24"/>
          <w:szCs w:val="24"/>
        </w:rPr>
        <w:t xml:space="preserve"> </w:t>
      </w:r>
      <w:r w:rsidR="006C3EB6" w:rsidRPr="00C34C27">
        <w:rPr>
          <w:sz w:val="24"/>
          <w:szCs w:val="24"/>
        </w:rPr>
        <w:t>C</w:t>
      </w:r>
      <w:r w:rsidR="00A76AAC" w:rsidRPr="00C34C27">
        <w:rPr>
          <w:sz w:val="24"/>
          <w:szCs w:val="24"/>
        </w:rPr>
        <w:t>ode.</w:t>
      </w:r>
      <w:r w:rsidR="00B800EB" w:rsidRPr="00C34C27">
        <w:rPr>
          <w:sz w:val="24"/>
          <w:szCs w:val="24"/>
        </w:rPr>
        <w:t xml:space="preserve"> However, (1) the </w:t>
      </w:r>
      <w:r w:rsidR="006C3EB6" w:rsidRPr="00C34C27">
        <w:rPr>
          <w:sz w:val="24"/>
          <w:szCs w:val="24"/>
        </w:rPr>
        <w:t xml:space="preserve">deliberate failure to enforce their own laws </w:t>
      </w:r>
      <w:r w:rsidR="006C3EB6" w:rsidRPr="00C34C27">
        <w:rPr>
          <w:b/>
          <w:bCs/>
          <w:sz w:val="24"/>
          <w:szCs w:val="24"/>
        </w:rPr>
        <w:t>does not</w:t>
      </w:r>
      <w:r w:rsidR="00B800EB" w:rsidRPr="00C34C27">
        <w:rPr>
          <w:sz w:val="24"/>
          <w:szCs w:val="24"/>
        </w:rPr>
        <w:t xml:space="preserve"> </w:t>
      </w:r>
      <w:r w:rsidR="006C3EB6" w:rsidRPr="00C34C27">
        <w:rPr>
          <w:b/>
          <w:bCs/>
          <w:sz w:val="24"/>
          <w:szCs w:val="24"/>
        </w:rPr>
        <w:t>constitute</w:t>
      </w:r>
      <w:r w:rsidR="00B800EB" w:rsidRPr="00C34C27">
        <w:rPr>
          <w:b/>
          <w:bCs/>
          <w:sz w:val="24"/>
          <w:szCs w:val="24"/>
        </w:rPr>
        <w:t xml:space="preserve"> legitimate action</w:t>
      </w:r>
      <w:r w:rsidR="00B800EB" w:rsidRPr="00C34C27">
        <w:rPr>
          <w:sz w:val="24"/>
          <w:szCs w:val="24"/>
        </w:rPr>
        <w:t xml:space="preserve"> that would trigger the duty to appeal</w:t>
      </w:r>
      <w:r w:rsidR="00605C9B" w:rsidRPr="00C34C27">
        <w:rPr>
          <w:rStyle w:val="FootnoteReference"/>
          <w:sz w:val="24"/>
          <w:szCs w:val="24"/>
        </w:rPr>
        <w:footnoteReference w:id="3"/>
      </w:r>
      <w:r w:rsidR="006C3EB6" w:rsidRPr="00C34C27">
        <w:rPr>
          <w:sz w:val="24"/>
          <w:szCs w:val="24"/>
        </w:rPr>
        <w:t>; the public policy implications of the opposite conclusion would be disastrous;</w:t>
      </w:r>
      <w:r w:rsidR="00B800EB" w:rsidRPr="00C34C27">
        <w:rPr>
          <w:sz w:val="24"/>
          <w:szCs w:val="24"/>
        </w:rPr>
        <w:t xml:space="preserve"> (2) it would </w:t>
      </w:r>
      <w:r w:rsidR="00B800EB" w:rsidRPr="00C34C27">
        <w:rPr>
          <w:b/>
          <w:bCs/>
          <w:sz w:val="24"/>
          <w:szCs w:val="24"/>
        </w:rPr>
        <w:t>not be equitable</w:t>
      </w:r>
      <w:r w:rsidR="00B800EB" w:rsidRPr="00C34C27">
        <w:rPr>
          <w:sz w:val="24"/>
          <w:szCs w:val="24"/>
        </w:rPr>
        <w:t xml:space="preserve"> to allow the City to assert failure to appeal as a defense because the record shows that </w:t>
      </w:r>
      <w:r w:rsidR="00B800EB" w:rsidRPr="00C34C27">
        <w:rPr>
          <w:b/>
          <w:bCs/>
          <w:sz w:val="24"/>
          <w:szCs w:val="24"/>
        </w:rPr>
        <w:t>they were aware</w:t>
      </w:r>
      <w:r w:rsidR="00B800EB" w:rsidRPr="00C34C27">
        <w:rPr>
          <w:sz w:val="24"/>
          <w:szCs w:val="24"/>
        </w:rPr>
        <w:t xml:space="preserve"> of the issue and </w:t>
      </w:r>
      <w:r w:rsidR="00B800EB" w:rsidRPr="00C34C27">
        <w:rPr>
          <w:b/>
          <w:bCs/>
          <w:sz w:val="24"/>
          <w:szCs w:val="24"/>
        </w:rPr>
        <w:t>said multiple times they would address it</w:t>
      </w:r>
      <w:r w:rsidR="006C3EB6" w:rsidRPr="00C34C27">
        <w:rPr>
          <w:sz w:val="24"/>
          <w:szCs w:val="24"/>
        </w:rPr>
        <w:t>,</w:t>
      </w:r>
      <w:r w:rsidRPr="00C34C27">
        <w:rPr>
          <w:b/>
          <w:bCs/>
          <w:sz w:val="24"/>
          <w:szCs w:val="24"/>
        </w:rPr>
        <w:t xml:space="preserve"> </w:t>
      </w:r>
      <w:r w:rsidRPr="00C34C27">
        <w:rPr>
          <w:sz w:val="24"/>
          <w:szCs w:val="24"/>
        </w:rPr>
        <w:t>and never did</w:t>
      </w:r>
      <w:r w:rsidR="00B800EB" w:rsidRPr="00C34C27">
        <w:rPr>
          <w:sz w:val="24"/>
          <w:szCs w:val="24"/>
        </w:rPr>
        <w:t xml:space="preserve">, and (3) any effort to appeal would have been </w:t>
      </w:r>
      <w:r w:rsidR="00B800EB" w:rsidRPr="00C34C27">
        <w:rPr>
          <w:b/>
          <w:bCs/>
          <w:sz w:val="24"/>
          <w:szCs w:val="24"/>
        </w:rPr>
        <w:t>futile</w:t>
      </w:r>
      <w:r w:rsidR="00B800EB" w:rsidRPr="00C34C27">
        <w:rPr>
          <w:sz w:val="24"/>
          <w:szCs w:val="24"/>
        </w:rPr>
        <w:t xml:space="preserve"> as petitioners wrote many letters to Zoning Administration, Board of Zoning Appeals, and the City Council making them aware</w:t>
      </w:r>
      <w:r w:rsidR="006C3EB6" w:rsidRPr="00C34C27">
        <w:rPr>
          <w:sz w:val="24"/>
          <w:szCs w:val="24"/>
        </w:rPr>
        <w:t xml:space="preserve"> of this issue</w:t>
      </w:r>
      <w:r w:rsidR="00B800EB" w:rsidRPr="00C34C27">
        <w:rPr>
          <w:sz w:val="24"/>
          <w:szCs w:val="24"/>
        </w:rPr>
        <w:t xml:space="preserve">, and no action was taken. </w:t>
      </w:r>
    </w:p>
    <w:p w14:paraId="4EC8A4F4" w14:textId="731C9C84" w:rsidR="00D22C0E" w:rsidRPr="00C34C27" w:rsidRDefault="00835A43" w:rsidP="00DA3091">
      <w:pPr>
        <w:pStyle w:val="ListParagraph"/>
        <w:numPr>
          <w:ilvl w:val="1"/>
          <w:numId w:val="1"/>
        </w:numPr>
        <w:rPr>
          <w:sz w:val="24"/>
          <w:szCs w:val="24"/>
        </w:rPr>
      </w:pPr>
      <w:r w:rsidRPr="00C34C27">
        <w:rPr>
          <w:b/>
          <w:bCs/>
          <w:sz w:val="24"/>
          <w:szCs w:val="24"/>
          <w:u w:val="single"/>
        </w:rPr>
        <w:t>Rational basis.</w:t>
      </w:r>
      <w:r w:rsidRPr="00C34C27">
        <w:rPr>
          <w:b/>
          <w:bCs/>
          <w:sz w:val="24"/>
          <w:szCs w:val="24"/>
        </w:rPr>
        <w:t xml:space="preserve"> </w:t>
      </w:r>
      <w:r w:rsidR="00C37B16" w:rsidRPr="00C34C27">
        <w:rPr>
          <w:b/>
          <w:bCs/>
          <w:sz w:val="24"/>
          <w:szCs w:val="24"/>
        </w:rPr>
        <w:t>Making up a new term “amenity space”</w:t>
      </w:r>
      <w:r w:rsidR="00C37B16" w:rsidRPr="00C34C27">
        <w:rPr>
          <w:sz w:val="24"/>
          <w:szCs w:val="24"/>
        </w:rPr>
        <w:t xml:space="preserve"> out of thin air and </w:t>
      </w:r>
      <w:r w:rsidR="00C37B16" w:rsidRPr="00C34C27">
        <w:rPr>
          <w:b/>
          <w:bCs/>
          <w:sz w:val="24"/>
          <w:szCs w:val="24"/>
        </w:rPr>
        <w:t>using it to swallow</w:t>
      </w:r>
      <w:r w:rsidR="00605C9B" w:rsidRPr="00C34C27">
        <w:rPr>
          <w:sz w:val="24"/>
          <w:szCs w:val="24"/>
        </w:rPr>
        <w:t xml:space="preserve"> </w:t>
      </w:r>
      <w:r w:rsidR="00C37B16" w:rsidRPr="00C34C27">
        <w:rPr>
          <w:b/>
          <w:bCs/>
          <w:sz w:val="24"/>
          <w:szCs w:val="24"/>
        </w:rPr>
        <w:t>up</w:t>
      </w:r>
      <w:r w:rsidR="00C37B16" w:rsidRPr="00C34C27">
        <w:rPr>
          <w:sz w:val="24"/>
          <w:szCs w:val="24"/>
        </w:rPr>
        <w:t xml:space="preserve"> the codified distinction between </w:t>
      </w:r>
      <w:r w:rsidR="00C37B16" w:rsidRPr="00C34C27">
        <w:rPr>
          <w:i/>
          <w:iCs/>
          <w:sz w:val="24"/>
          <w:szCs w:val="24"/>
        </w:rPr>
        <w:t>lot coverage by buildings</w:t>
      </w:r>
      <w:r w:rsidR="00C37B16" w:rsidRPr="00C34C27">
        <w:rPr>
          <w:sz w:val="24"/>
          <w:szCs w:val="24"/>
        </w:rPr>
        <w:t xml:space="preserve"> and </w:t>
      </w:r>
      <w:r w:rsidR="00C37B16" w:rsidRPr="00C34C27">
        <w:rPr>
          <w:i/>
          <w:iCs/>
          <w:sz w:val="24"/>
          <w:szCs w:val="24"/>
        </w:rPr>
        <w:t>lot coverage for open space</w:t>
      </w:r>
      <w:r w:rsidR="00C37B16" w:rsidRPr="00C34C27">
        <w:rPr>
          <w:sz w:val="24"/>
          <w:szCs w:val="24"/>
        </w:rPr>
        <w:t xml:space="preserve"> </w:t>
      </w:r>
      <w:r w:rsidR="00C37B16" w:rsidRPr="00C34C27">
        <w:rPr>
          <w:b/>
          <w:bCs/>
          <w:sz w:val="24"/>
          <w:szCs w:val="24"/>
        </w:rPr>
        <w:t>is not a rational-basis</w:t>
      </w:r>
      <w:r w:rsidR="00C37B16" w:rsidRPr="00C34C27">
        <w:rPr>
          <w:sz w:val="24"/>
          <w:szCs w:val="24"/>
        </w:rPr>
        <w:t xml:space="preserve"> for not holding a variance hearing to deviate from the plain meaning of the Code. </w:t>
      </w:r>
    </w:p>
    <w:sectPr w:rsidR="00D22C0E" w:rsidRPr="00C34C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2F817" w14:textId="77777777" w:rsidR="00160A48" w:rsidRDefault="00160A48" w:rsidP="00F42F37">
      <w:pPr>
        <w:spacing w:after="0" w:line="240" w:lineRule="auto"/>
      </w:pPr>
      <w:r>
        <w:separator/>
      </w:r>
    </w:p>
  </w:endnote>
  <w:endnote w:type="continuationSeparator" w:id="0">
    <w:p w14:paraId="3054C932" w14:textId="77777777" w:rsidR="00160A48" w:rsidRDefault="00160A48" w:rsidP="00F4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58B2F" w14:textId="77777777" w:rsidR="00160A48" w:rsidRDefault="00160A48" w:rsidP="00F42F37">
      <w:pPr>
        <w:spacing w:after="0" w:line="240" w:lineRule="auto"/>
      </w:pPr>
      <w:r>
        <w:separator/>
      </w:r>
    </w:p>
  </w:footnote>
  <w:footnote w:type="continuationSeparator" w:id="0">
    <w:p w14:paraId="0A0FDCBB" w14:textId="77777777" w:rsidR="00160A48" w:rsidRDefault="00160A48" w:rsidP="00F42F37">
      <w:pPr>
        <w:spacing w:after="0" w:line="240" w:lineRule="auto"/>
      </w:pPr>
      <w:r>
        <w:continuationSeparator/>
      </w:r>
    </w:p>
  </w:footnote>
  <w:footnote w:id="1">
    <w:p w14:paraId="6E162743" w14:textId="0A4DB974" w:rsidR="00220DB9" w:rsidRPr="00C34C27" w:rsidRDefault="00220DB9">
      <w:pPr>
        <w:pStyle w:val="FootnoteText"/>
        <w:rPr>
          <w:sz w:val="24"/>
          <w:szCs w:val="24"/>
        </w:rPr>
      </w:pPr>
      <w:r w:rsidRPr="00C34C27">
        <w:rPr>
          <w:rStyle w:val="FootnoteReference"/>
          <w:sz w:val="24"/>
          <w:szCs w:val="24"/>
        </w:rPr>
        <w:footnoteRef/>
      </w:r>
      <w:r w:rsidRPr="00C34C27">
        <w:rPr>
          <w:sz w:val="24"/>
          <w:szCs w:val="24"/>
        </w:rPr>
        <w:t xml:space="preserve"> See Mendota Heights Golf, LLP v. City of Mendota Heights.</w:t>
      </w:r>
    </w:p>
  </w:footnote>
  <w:footnote w:id="2">
    <w:p w14:paraId="168074DA" w14:textId="58D6A3C1" w:rsidR="00DA3091" w:rsidRPr="00C34C27" w:rsidRDefault="00DA3091">
      <w:pPr>
        <w:pStyle w:val="FootnoteText"/>
        <w:rPr>
          <w:sz w:val="24"/>
          <w:szCs w:val="24"/>
        </w:rPr>
      </w:pPr>
      <w:r w:rsidRPr="00C34C27">
        <w:rPr>
          <w:rStyle w:val="FootnoteReference"/>
          <w:sz w:val="24"/>
          <w:szCs w:val="24"/>
        </w:rPr>
        <w:footnoteRef/>
      </w:r>
      <w:r w:rsidRPr="00C34C27">
        <w:rPr>
          <w:sz w:val="24"/>
          <w:szCs w:val="24"/>
        </w:rPr>
        <w:t xml:space="preserve"> See </w:t>
      </w:r>
      <w:proofErr w:type="spellStart"/>
      <w:r w:rsidRPr="00C34C27">
        <w:rPr>
          <w:i/>
          <w:iCs/>
          <w:sz w:val="24"/>
          <w:szCs w:val="24"/>
        </w:rPr>
        <w:t>Scinocca</w:t>
      </w:r>
      <w:proofErr w:type="spellEnd"/>
      <w:r w:rsidRPr="00C34C27">
        <w:rPr>
          <w:i/>
          <w:iCs/>
          <w:sz w:val="24"/>
          <w:szCs w:val="24"/>
        </w:rPr>
        <w:t xml:space="preserve"> v. St. Louis County Bd. of </w:t>
      </w:r>
      <w:proofErr w:type="spellStart"/>
      <w:r w:rsidRPr="00C34C27">
        <w:rPr>
          <w:i/>
          <w:iCs/>
          <w:sz w:val="24"/>
          <w:szCs w:val="24"/>
        </w:rPr>
        <w:t>Com’rs</w:t>
      </w:r>
      <w:proofErr w:type="spellEnd"/>
      <w:r w:rsidRPr="00C34C27">
        <w:rPr>
          <w:sz w:val="24"/>
          <w:szCs w:val="24"/>
        </w:rPr>
        <w:t xml:space="preserve">, 1979, 281 N.W.2d. 659. </w:t>
      </w:r>
    </w:p>
  </w:footnote>
  <w:footnote w:id="3">
    <w:p w14:paraId="42DE41B7" w14:textId="596BE6FD" w:rsidR="00605C9B" w:rsidRPr="00C34C27" w:rsidRDefault="00605C9B" w:rsidP="00605C9B">
      <w:pPr>
        <w:pStyle w:val="FootnoteText"/>
        <w:rPr>
          <w:sz w:val="24"/>
          <w:szCs w:val="24"/>
        </w:rPr>
      </w:pPr>
      <w:r w:rsidRPr="00C34C27">
        <w:rPr>
          <w:rStyle w:val="FootnoteReference"/>
          <w:sz w:val="24"/>
          <w:szCs w:val="24"/>
        </w:rPr>
        <w:footnoteRef/>
      </w:r>
      <w:r w:rsidRPr="00C34C27">
        <w:rPr>
          <w:sz w:val="24"/>
          <w:szCs w:val="24"/>
        </w:rPr>
        <w:t xml:space="preserve"> Petitioners cite </w:t>
      </w:r>
      <w:r w:rsidRPr="00C34C27">
        <w:rPr>
          <w:i/>
          <w:iCs/>
          <w:sz w:val="24"/>
          <w:szCs w:val="24"/>
        </w:rPr>
        <w:t>Sholes</w:t>
      </w:r>
      <w:r w:rsidRPr="00C34C27">
        <w:rPr>
          <w:sz w:val="24"/>
          <w:szCs w:val="24"/>
        </w:rPr>
        <w:t xml:space="preserve"> to make the </w:t>
      </w:r>
      <w:r w:rsidRPr="00C34C27">
        <w:rPr>
          <w:b/>
          <w:bCs/>
          <w:sz w:val="24"/>
          <w:szCs w:val="24"/>
        </w:rPr>
        <w:t>general point</w:t>
      </w:r>
      <w:r w:rsidRPr="00C34C27">
        <w:rPr>
          <w:sz w:val="24"/>
          <w:szCs w:val="24"/>
        </w:rPr>
        <w:t xml:space="preserve"> that Minnesota Courts have recognized that the </w:t>
      </w:r>
      <w:r w:rsidRPr="00C34C27">
        <w:rPr>
          <w:b/>
          <w:bCs/>
          <w:sz w:val="24"/>
          <w:szCs w:val="24"/>
        </w:rPr>
        <w:t>duty to exhaust other remedies presupposes that some action has been taken</w:t>
      </w:r>
      <w:r w:rsidRPr="00C34C27">
        <w:rPr>
          <w:sz w:val="24"/>
          <w:szCs w:val="24"/>
        </w:rPr>
        <w:t xml:space="preserve">. Petitioners </w:t>
      </w:r>
      <w:r w:rsidRPr="00C34C27">
        <w:rPr>
          <w:b/>
          <w:bCs/>
          <w:sz w:val="24"/>
          <w:szCs w:val="24"/>
        </w:rPr>
        <w:t>also cite</w:t>
      </w:r>
      <w:r w:rsidRPr="00C34C27">
        <w:rPr>
          <w:sz w:val="24"/>
          <w:szCs w:val="24"/>
        </w:rPr>
        <w:t xml:space="preserve">, 21 Minn. </w:t>
      </w:r>
      <w:proofErr w:type="spellStart"/>
      <w:r w:rsidRPr="00C34C27">
        <w:rPr>
          <w:sz w:val="24"/>
          <w:szCs w:val="24"/>
        </w:rPr>
        <w:t>Prac</w:t>
      </w:r>
      <w:proofErr w:type="spellEnd"/>
      <w:r w:rsidRPr="00C34C27">
        <w:rPr>
          <w:sz w:val="24"/>
          <w:szCs w:val="24"/>
        </w:rPr>
        <w:t xml:space="preserve">., Administrative </w:t>
      </w:r>
      <w:proofErr w:type="spellStart"/>
      <w:r w:rsidRPr="00C34C27">
        <w:rPr>
          <w:sz w:val="24"/>
          <w:szCs w:val="24"/>
        </w:rPr>
        <w:t>Prac</w:t>
      </w:r>
      <w:proofErr w:type="spellEnd"/>
      <w:r w:rsidRPr="00C34C27">
        <w:rPr>
          <w:sz w:val="24"/>
          <w:szCs w:val="24"/>
        </w:rPr>
        <w:t xml:space="preserve">. &amp; Proc § 10.14 (2d ed.) to support their argument that the City is bound by </w:t>
      </w:r>
      <w:proofErr w:type="spellStart"/>
      <w:r w:rsidRPr="00C34C27">
        <w:rPr>
          <w:sz w:val="24"/>
          <w:szCs w:val="24"/>
        </w:rPr>
        <w:t>it’s</w:t>
      </w:r>
      <w:proofErr w:type="spellEnd"/>
      <w:r w:rsidRPr="00C34C27">
        <w:rPr>
          <w:sz w:val="24"/>
          <w:szCs w:val="24"/>
        </w:rPr>
        <w:t xml:space="preserve"> own rules and procedures and where they </w:t>
      </w:r>
      <w:r w:rsidRPr="00C34C27">
        <w:rPr>
          <w:b/>
          <w:bCs/>
          <w:sz w:val="24"/>
          <w:szCs w:val="24"/>
        </w:rPr>
        <w:t>fail to follow them</w:t>
      </w:r>
      <w:r w:rsidRPr="00C34C27">
        <w:rPr>
          <w:sz w:val="24"/>
          <w:szCs w:val="24"/>
        </w:rPr>
        <w:t xml:space="preserve">, it is an abuse of discretion which </w:t>
      </w:r>
      <w:r w:rsidRPr="00C34C27">
        <w:rPr>
          <w:b/>
          <w:bCs/>
          <w:sz w:val="24"/>
          <w:szCs w:val="24"/>
        </w:rPr>
        <w:t>invalidates the City’s action</w:t>
      </w:r>
      <w:r w:rsidRPr="00C34C27">
        <w:rPr>
          <w:sz w:val="24"/>
          <w:szCs w:val="24"/>
        </w:rPr>
        <w:t xml:space="preserve">. Petitioners stand firm in their position that the Zoning Administrator’s deliberate failure to enforce the City’s own Code by unilaterally granting a variance from the plain meaning of the Code is not legitimate action that would trigger the duty to appeal. Any other conclusion would undermine societal interests in lawful governance and sound public policy.  </w:t>
      </w:r>
    </w:p>
    <w:p w14:paraId="638BDBC0" w14:textId="77777777" w:rsidR="00605C9B" w:rsidRDefault="00605C9B" w:rsidP="00605C9B">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01A49"/>
    <w:multiLevelType w:val="hybridMultilevel"/>
    <w:tmpl w:val="47BC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0E"/>
    <w:rsid w:val="00033310"/>
    <w:rsid w:val="000536CC"/>
    <w:rsid w:val="00160A48"/>
    <w:rsid w:val="001E5FB6"/>
    <w:rsid w:val="00220DB9"/>
    <w:rsid w:val="00383F21"/>
    <w:rsid w:val="0041381F"/>
    <w:rsid w:val="00474272"/>
    <w:rsid w:val="00494520"/>
    <w:rsid w:val="004D7C3E"/>
    <w:rsid w:val="005B1404"/>
    <w:rsid w:val="00603273"/>
    <w:rsid w:val="00605C9B"/>
    <w:rsid w:val="00672BBA"/>
    <w:rsid w:val="006C3EB6"/>
    <w:rsid w:val="006F0AB3"/>
    <w:rsid w:val="00835A43"/>
    <w:rsid w:val="00A63466"/>
    <w:rsid w:val="00A76AAC"/>
    <w:rsid w:val="00B800EB"/>
    <w:rsid w:val="00C34C27"/>
    <w:rsid w:val="00C37B16"/>
    <w:rsid w:val="00C74C79"/>
    <w:rsid w:val="00D22C0E"/>
    <w:rsid w:val="00DA3091"/>
    <w:rsid w:val="00DC73EA"/>
    <w:rsid w:val="00DF5449"/>
    <w:rsid w:val="00DF7E5D"/>
    <w:rsid w:val="00E4640E"/>
    <w:rsid w:val="00F4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31F9"/>
  <w15:chartTrackingRefBased/>
  <w15:docId w15:val="{2589C4DF-A38A-41FD-B962-9689B450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C3E"/>
    <w:pPr>
      <w:ind w:left="720"/>
      <w:contextualSpacing/>
    </w:pPr>
  </w:style>
  <w:style w:type="paragraph" w:styleId="FootnoteText">
    <w:name w:val="footnote text"/>
    <w:basedOn w:val="Normal"/>
    <w:link w:val="FootnoteTextChar"/>
    <w:uiPriority w:val="99"/>
    <w:semiHidden/>
    <w:unhideWhenUsed/>
    <w:rsid w:val="00F42F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2F37"/>
    <w:rPr>
      <w:sz w:val="20"/>
      <w:szCs w:val="20"/>
    </w:rPr>
  </w:style>
  <w:style w:type="character" w:styleId="FootnoteReference">
    <w:name w:val="footnote reference"/>
    <w:basedOn w:val="DefaultParagraphFont"/>
    <w:uiPriority w:val="99"/>
    <w:semiHidden/>
    <w:unhideWhenUsed/>
    <w:rsid w:val="00F42F37"/>
    <w:rPr>
      <w:vertAlign w:val="superscript"/>
    </w:rPr>
  </w:style>
  <w:style w:type="character" w:styleId="CommentReference">
    <w:name w:val="annotation reference"/>
    <w:basedOn w:val="DefaultParagraphFont"/>
    <w:uiPriority w:val="99"/>
    <w:semiHidden/>
    <w:unhideWhenUsed/>
    <w:rsid w:val="00383F21"/>
    <w:rPr>
      <w:sz w:val="16"/>
      <w:szCs w:val="16"/>
    </w:rPr>
  </w:style>
  <w:style w:type="paragraph" w:styleId="CommentText">
    <w:name w:val="annotation text"/>
    <w:basedOn w:val="Normal"/>
    <w:link w:val="CommentTextChar"/>
    <w:uiPriority w:val="99"/>
    <w:semiHidden/>
    <w:unhideWhenUsed/>
    <w:rsid w:val="00383F21"/>
    <w:pPr>
      <w:spacing w:line="240" w:lineRule="auto"/>
    </w:pPr>
    <w:rPr>
      <w:sz w:val="20"/>
      <w:szCs w:val="20"/>
    </w:rPr>
  </w:style>
  <w:style w:type="character" w:customStyle="1" w:styleId="CommentTextChar">
    <w:name w:val="Comment Text Char"/>
    <w:basedOn w:val="DefaultParagraphFont"/>
    <w:link w:val="CommentText"/>
    <w:uiPriority w:val="99"/>
    <w:semiHidden/>
    <w:rsid w:val="00383F21"/>
    <w:rPr>
      <w:sz w:val="20"/>
      <w:szCs w:val="20"/>
    </w:rPr>
  </w:style>
  <w:style w:type="paragraph" w:styleId="CommentSubject">
    <w:name w:val="annotation subject"/>
    <w:basedOn w:val="CommentText"/>
    <w:next w:val="CommentText"/>
    <w:link w:val="CommentSubjectChar"/>
    <w:uiPriority w:val="99"/>
    <w:semiHidden/>
    <w:unhideWhenUsed/>
    <w:rsid w:val="00383F21"/>
    <w:rPr>
      <w:b/>
      <w:bCs/>
    </w:rPr>
  </w:style>
  <w:style w:type="character" w:customStyle="1" w:styleId="CommentSubjectChar">
    <w:name w:val="Comment Subject Char"/>
    <w:basedOn w:val="CommentTextChar"/>
    <w:link w:val="CommentSubject"/>
    <w:uiPriority w:val="99"/>
    <w:semiHidden/>
    <w:rsid w:val="00383F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6BAD8-7D28-441C-AEA7-E2B13A87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McGuire</dc:creator>
  <cp:keywords/>
  <dc:description/>
  <cp:lastModifiedBy>Matthew McGuire</cp:lastModifiedBy>
  <cp:revision>3</cp:revision>
  <dcterms:created xsi:type="dcterms:W3CDTF">2021-01-28T14:25:00Z</dcterms:created>
  <dcterms:modified xsi:type="dcterms:W3CDTF">2021-01-28T14:26:00Z</dcterms:modified>
</cp:coreProperties>
</file>